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FD2A" w14:textId="1A5A4ACE" w:rsidR="00E6515C" w:rsidRPr="00E6515C" w:rsidRDefault="00E6515C" w:rsidP="00F938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515C">
        <w:rPr>
          <w:rFonts w:ascii="Times New Roman" w:eastAsia="Times New Roman" w:hAnsi="Times New Roman" w:cs="Times New Roman"/>
          <w:b/>
          <w:bCs/>
          <w:sz w:val="32"/>
          <w:szCs w:val="32"/>
        </w:rPr>
        <w:t>SBIR/STTR Quick Facts</w:t>
      </w:r>
    </w:p>
    <w:p w14:paraId="10DC56EC" w14:textId="5FF984B8" w:rsidR="00F938E8" w:rsidRDefault="00F938E8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E8">
        <w:rPr>
          <w:rFonts w:ascii="Times New Roman" w:eastAsia="Times New Roman" w:hAnsi="Times New Roman" w:cs="Times New Roman"/>
          <w:sz w:val="24"/>
          <w:szCs w:val="24"/>
        </w:rPr>
        <w:t>The federal government offers two ma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F938E8">
        <w:rPr>
          <w:rFonts w:ascii="Times New Roman" w:eastAsia="Times New Roman" w:hAnsi="Times New Roman" w:cs="Times New Roman"/>
          <w:sz w:val="24"/>
          <w:szCs w:val="24"/>
        </w:rPr>
        <w:t xml:space="preserve"> programs that provide early stage/high risk funding for start-ups and small business: the Small Business Innovation Research program (SBIR) and the Small Business Technology Transfer program (STTR). To be eligible, the small business must be 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8E8">
        <w:rPr>
          <w:rFonts w:ascii="Times New Roman" w:eastAsia="Times New Roman" w:hAnsi="Times New Roman" w:cs="Times New Roman"/>
          <w:sz w:val="24"/>
          <w:szCs w:val="24"/>
        </w:rPr>
        <w:t>owned, organized as a for-profit entity and have less than 500 employees.</w:t>
      </w:r>
    </w:p>
    <w:p w14:paraId="026574D8" w14:textId="77777777" w:rsidR="00F938E8" w:rsidRPr="00F938E8" w:rsidRDefault="00F938E8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AFD2A" w14:textId="00A4A6A3" w:rsidR="00026D15" w:rsidRPr="00F938E8" w:rsidRDefault="00026D15" w:rsidP="00026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8E8">
        <w:rPr>
          <w:rFonts w:ascii="Times New Roman" w:eastAsia="Times New Roman" w:hAnsi="Times New Roman" w:cs="Times New Roman"/>
          <w:b/>
          <w:bCs/>
          <w:sz w:val="28"/>
          <w:szCs w:val="28"/>
        </w:rPr>
        <w:t>SBIR vs. STTR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35"/>
      </w:tblGrid>
      <w:tr w:rsidR="00026D15" w:rsidRPr="00026D15" w14:paraId="5C67A32D" w14:textId="77777777" w:rsidTr="00F938E8">
        <w:trPr>
          <w:trHeight w:val="476"/>
        </w:trPr>
        <w:tc>
          <w:tcPr>
            <w:tcW w:w="3105" w:type="dxa"/>
            <w:hideMark/>
          </w:tcPr>
          <w:p w14:paraId="490F05A1" w14:textId="261AFACA" w:rsidR="00026D15" w:rsidRPr="00026D15" w:rsidRDefault="00026D15" w:rsidP="00F938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hideMark/>
          </w:tcPr>
          <w:p w14:paraId="6057D55E" w14:textId="77777777" w:rsidR="00026D15" w:rsidRPr="00026D15" w:rsidRDefault="00026D15" w:rsidP="00F938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SBIR</w:t>
            </w:r>
          </w:p>
        </w:tc>
        <w:tc>
          <w:tcPr>
            <w:tcW w:w="3135" w:type="dxa"/>
            <w:hideMark/>
          </w:tcPr>
          <w:p w14:paraId="24A155DC" w14:textId="77777777" w:rsidR="00026D15" w:rsidRPr="00026D15" w:rsidRDefault="00026D15" w:rsidP="00F938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STTR</w:t>
            </w:r>
          </w:p>
        </w:tc>
      </w:tr>
      <w:tr w:rsidR="00026D15" w:rsidRPr="00026D15" w14:paraId="691AB825" w14:textId="77777777" w:rsidTr="00F938E8">
        <w:tc>
          <w:tcPr>
            <w:tcW w:w="3105" w:type="dxa"/>
            <w:hideMark/>
          </w:tcPr>
          <w:p w14:paraId="0EEBCF6A" w14:textId="77777777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 applies?</w:t>
            </w:r>
          </w:p>
        </w:tc>
        <w:tc>
          <w:tcPr>
            <w:tcW w:w="3105" w:type="dxa"/>
            <w:hideMark/>
          </w:tcPr>
          <w:p w14:paraId="0780D5BA" w14:textId="77777777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For-profit U.S. small business</w:t>
            </w:r>
          </w:p>
        </w:tc>
        <w:tc>
          <w:tcPr>
            <w:tcW w:w="3135" w:type="dxa"/>
            <w:hideMark/>
          </w:tcPr>
          <w:p w14:paraId="7493E73B" w14:textId="16FE9430" w:rsidR="00F938E8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For profit U.S. small business (partnered with nonprofit research institution)</w:t>
            </w:r>
          </w:p>
        </w:tc>
      </w:tr>
      <w:tr w:rsidR="00026D15" w:rsidRPr="00026D15" w14:paraId="04B35352" w14:textId="77777777" w:rsidTr="00F938E8">
        <w:tc>
          <w:tcPr>
            <w:tcW w:w="3105" w:type="dxa"/>
            <w:hideMark/>
          </w:tcPr>
          <w:p w14:paraId="41174B11" w14:textId="0870B7FA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Phases</w:t>
            </w:r>
          </w:p>
        </w:tc>
        <w:tc>
          <w:tcPr>
            <w:tcW w:w="3105" w:type="dxa"/>
            <w:hideMark/>
          </w:tcPr>
          <w:p w14:paraId="35A7AD08" w14:textId="50759747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Phase I: 6 months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Phase II: 24 months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Phase III: Variable (Not SBIR funded)</w:t>
            </w:r>
          </w:p>
        </w:tc>
        <w:tc>
          <w:tcPr>
            <w:tcW w:w="3135" w:type="dxa"/>
            <w:hideMark/>
          </w:tcPr>
          <w:p w14:paraId="7CA5EE49" w14:textId="77777777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Phase I: 13 months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Phase II: 24 months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Phase III: Variable (Not STTR funded)</w:t>
            </w:r>
          </w:p>
        </w:tc>
      </w:tr>
      <w:tr w:rsidR="00026D15" w:rsidRPr="00026D15" w14:paraId="7C0B75E7" w14:textId="77777777" w:rsidTr="00F938E8">
        <w:tc>
          <w:tcPr>
            <w:tcW w:w="3105" w:type="dxa"/>
            <w:hideMark/>
          </w:tcPr>
          <w:p w14:paraId="6E901A5F" w14:textId="18122D9C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</w:tc>
        <w:tc>
          <w:tcPr>
            <w:tcW w:w="3105" w:type="dxa"/>
            <w:hideMark/>
          </w:tcPr>
          <w:p w14:paraId="2950A773" w14:textId="368D1D83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Employed at least 51% by the small </w:t>
            </w:r>
            <w:proofErr w:type="gramStart"/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r w:rsidR="00331094">
              <w:rPr>
                <w:rFonts w:ascii="Times New Roman" w:eastAsia="Times New Roman" w:hAnsi="Times New Roman" w:cs="Times New Roman"/>
                <w:sz w:val="24"/>
                <w:szCs w:val="24"/>
              </w:rPr>
              <w:t>.*</w:t>
            </w:r>
            <w:proofErr w:type="gramEnd"/>
          </w:p>
        </w:tc>
        <w:tc>
          <w:tcPr>
            <w:tcW w:w="3135" w:type="dxa"/>
            <w:hideMark/>
          </w:tcPr>
          <w:p w14:paraId="1634A0DA" w14:textId="6D808BB8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May be employed by either the small business or non-profit with at least 10% effort</w:t>
            </w:r>
          </w:p>
        </w:tc>
      </w:tr>
      <w:tr w:rsidR="00026D15" w:rsidRPr="00026D15" w14:paraId="37F1E8D7" w14:textId="77777777" w:rsidTr="00F938E8">
        <w:tc>
          <w:tcPr>
            <w:tcW w:w="3105" w:type="dxa"/>
            <w:hideMark/>
          </w:tcPr>
          <w:p w14:paraId="5EB70D49" w14:textId="1086D203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Intellectual Property (IP)</w:t>
            </w:r>
          </w:p>
        </w:tc>
        <w:tc>
          <w:tcPr>
            <w:tcW w:w="3105" w:type="dxa"/>
            <w:hideMark/>
          </w:tcPr>
          <w:p w14:paraId="2F8598CA" w14:textId="21279C82" w:rsidR="00026D15" w:rsidRPr="00026D15" w:rsidRDefault="00277DF9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agreement required but may be needed if university hold rights in IP to be developed.</w:t>
            </w:r>
          </w:p>
        </w:tc>
        <w:tc>
          <w:tcPr>
            <w:tcW w:w="3135" w:type="dxa"/>
            <w:hideMark/>
          </w:tcPr>
          <w:p w14:paraId="33434D1C" w14:textId="134FBDE7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Requires the small business and non-profit to have an agreement concerning IP and further research/development</w:t>
            </w:r>
          </w:p>
        </w:tc>
      </w:tr>
      <w:tr w:rsidR="00026D15" w:rsidRPr="00026D15" w14:paraId="5A924867" w14:textId="77777777" w:rsidTr="00F938E8">
        <w:tc>
          <w:tcPr>
            <w:tcW w:w="3105" w:type="dxa"/>
            <w:hideMark/>
          </w:tcPr>
          <w:p w14:paraId="567E4663" w14:textId="7568845D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3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pproximate dollar a</w:t>
            </w: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mounts and timelines</w:t>
            </w:r>
          </w:p>
        </w:tc>
        <w:tc>
          <w:tcPr>
            <w:tcW w:w="3105" w:type="dxa"/>
            <w:hideMark/>
          </w:tcPr>
          <w:p w14:paraId="455F2C57" w14:textId="45AECD0A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Phase I: $150,000 for 6 months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Phase II: $1M for 2 years</w:t>
            </w:r>
          </w:p>
        </w:tc>
        <w:tc>
          <w:tcPr>
            <w:tcW w:w="3135" w:type="dxa"/>
            <w:hideMark/>
          </w:tcPr>
          <w:p w14:paraId="6F34E06A" w14:textId="479ED811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Phase I: $150,000 for 1 year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Phase II: $1,000,000 for 2 years</w:t>
            </w:r>
          </w:p>
        </w:tc>
      </w:tr>
      <w:tr w:rsidR="00026D15" w:rsidRPr="00026D15" w14:paraId="27603F9B" w14:textId="77777777" w:rsidTr="00F938E8">
        <w:tc>
          <w:tcPr>
            <w:tcW w:w="3105" w:type="dxa"/>
            <w:hideMark/>
          </w:tcPr>
          <w:p w14:paraId="38F08809" w14:textId="641858AE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collaboration required?</w:t>
            </w:r>
          </w:p>
        </w:tc>
        <w:tc>
          <w:tcPr>
            <w:tcW w:w="3105" w:type="dxa"/>
            <w:hideMark/>
          </w:tcPr>
          <w:p w14:paraId="7E9F9B54" w14:textId="7B66E7FF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Allowed</w:t>
            </w:r>
          </w:p>
        </w:tc>
        <w:tc>
          <w:tcPr>
            <w:tcW w:w="3135" w:type="dxa"/>
            <w:hideMark/>
          </w:tcPr>
          <w:p w14:paraId="4C16F275" w14:textId="4DC2D406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Required</w:t>
            </w:r>
          </w:p>
        </w:tc>
      </w:tr>
      <w:tr w:rsidR="00026D15" w:rsidRPr="00026D15" w14:paraId="14DB05D1" w14:textId="77777777" w:rsidTr="00F938E8">
        <w:tc>
          <w:tcPr>
            <w:tcW w:w="3105" w:type="dxa"/>
            <w:hideMark/>
          </w:tcPr>
          <w:p w14:paraId="3274F3A1" w14:textId="0C674A34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distribution (R&amp;D)</w:t>
            </w:r>
          </w:p>
        </w:tc>
        <w:tc>
          <w:tcPr>
            <w:tcW w:w="3105" w:type="dxa"/>
            <w:hideMark/>
          </w:tcPr>
          <w:p w14:paraId="4BB3248E" w14:textId="32D6127C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Small business: minimum 66% Phase I, 50% Phase II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Non-profit: maximum 33% Phase I, 50% Phase II</w:t>
            </w:r>
          </w:p>
        </w:tc>
        <w:tc>
          <w:tcPr>
            <w:tcW w:w="3135" w:type="dxa"/>
            <w:hideMark/>
          </w:tcPr>
          <w:p w14:paraId="328E36DA" w14:textId="7F131EC2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Small business: minimum 40% both phases</w:t>
            </w: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Non-profit minimum 30% both phases</w:t>
            </w:r>
          </w:p>
        </w:tc>
      </w:tr>
      <w:tr w:rsidR="00026D15" w:rsidRPr="00026D15" w14:paraId="76EC6E22" w14:textId="77777777" w:rsidTr="00F938E8">
        <w:trPr>
          <w:trHeight w:val="607"/>
        </w:trPr>
        <w:tc>
          <w:tcPr>
            <w:tcW w:w="3105" w:type="dxa"/>
            <w:hideMark/>
          </w:tcPr>
          <w:p w14:paraId="317AD461" w14:textId="7F71A3DD" w:rsidR="00026D15" w:rsidRPr="00E6515C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Number of participating agencies</w:t>
            </w:r>
          </w:p>
        </w:tc>
        <w:tc>
          <w:tcPr>
            <w:tcW w:w="3105" w:type="dxa"/>
            <w:hideMark/>
          </w:tcPr>
          <w:p w14:paraId="50326295" w14:textId="67CA3839" w:rsidR="00026D15" w:rsidRPr="00026D15" w:rsidRDefault="00026D15" w:rsidP="00F938E8">
            <w:pPr>
              <w:spacing w:before="100" w:after="10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6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hideMark/>
          </w:tcPr>
          <w:p w14:paraId="37FCC3B3" w14:textId="34A8814F" w:rsidR="00026D15" w:rsidRPr="00026D15" w:rsidRDefault="00026D15" w:rsidP="00F938E8">
            <w:pPr>
              <w:spacing w:before="100" w:after="10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9CBF3E0" w14:textId="6A7E8598" w:rsidR="00E6515C" w:rsidRPr="00331094" w:rsidRDefault="00277DF9" w:rsidP="00277D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331094">
        <w:rPr>
          <w:rFonts w:ascii="Times New Roman" w:eastAsia="Times New Roman" w:hAnsi="Times New Roman" w:cs="Times New Roman"/>
          <w:sz w:val="16"/>
          <w:szCs w:val="16"/>
        </w:rPr>
        <w:t xml:space="preserve">* Due </w:t>
      </w:r>
      <w:r w:rsidR="000A19C9">
        <w:rPr>
          <w:rFonts w:ascii="Times New Roman" w:eastAsia="Times New Roman" w:hAnsi="Times New Roman" w:cs="Times New Roman"/>
          <w:sz w:val="16"/>
          <w:szCs w:val="16"/>
        </w:rPr>
        <w:t xml:space="preserve">to </w:t>
      </w:r>
      <w:r w:rsidRPr="00331094">
        <w:rPr>
          <w:rFonts w:ascii="Times New Roman" w:eastAsia="Times New Roman" w:hAnsi="Times New Roman" w:cs="Times New Roman"/>
          <w:sz w:val="16"/>
          <w:szCs w:val="16"/>
        </w:rPr>
        <w:t>the PI requirement</w:t>
      </w:r>
      <w:r w:rsidR="005E6D0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33109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1D7EB4" w:rsidRPr="00331094">
        <w:rPr>
          <w:rFonts w:ascii="Times New Roman" w:eastAsia="Times New Roman" w:hAnsi="Times New Roman" w:cs="Times New Roman"/>
          <w:sz w:val="16"/>
          <w:szCs w:val="16"/>
        </w:rPr>
        <w:t xml:space="preserve">it is </w:t>
      </w:r>
      <w:r w:rsidR="00331094" w:rsidRPr="00331094">
        <w:rPr>
          <w:rFonts w:ascii="Times New Roman" w:eastAsia="Times New Roman" w:hAnsi="Times New Roman" w:cs="Times New Roman"/>
          <w:sz w:val="16"/>
          <w:szCs w:val="16"/>
        </w:rPr>
        <w:t xml:space="preserve">challenging for </w:t>
      </w:r>
      <w:r w:rsidRPr="00331094">
        <w:rPr>
          <w:rFonts w:ascii="Times New Roman" w:eastAsia="Times New Roman" w:hAnsi="Times New Roman" w:cs="Times New Roman"/>
          <w:sz w:val="16"/>
          <w:szCs w:val="16"/>
        </w:rPr>
        <w:t xml:space="preserve">a university employee </w:t>
      </w:r>
      <w:r w:rsidR="00331094" w:rsidRPr="00331094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331094">
        <w:rPr>
          <w:rFonts w:ascii="Times New Roman" w:eastAsia="Times New Roman" w:hAnsi="Times New Roman" w:cs="Times New Roman"/>
          <w:sz w:val="16"/>
          <w:szCs w:val="16"/>
        </w:rPr>
        <w:t xml:space="preserve"> serve as the PI on an SBIR grant without taking a leave of absence or </w:t>
      </w:r>
      <w:r w:rsidR="001D7EB4" w:rsidRPr="00331094">
        <w:rPr>
          <w:rFonts w:ascii="Times New Roman" w:eastAsia="Times New Roman" w:hAnsi="Times New Roman" w:cs="Times New Roman"/>
          <w:sz w:val="16"/>
          <w:szCs w:val="16"/>
        </w:rPr>
        <w:t xml:space="preserve">sabbatical </w:t>
      </w:r>
      <w:r w:rsidRPr="00331094">
        <w:rPr>
          <w:rFonts w:ascii="Times New Roman" w:eastAsia="Times New Roman" w:hAnsi="Times New Roman" w:cs="Times New Roman"/>
          <w:sz w:val="16"/>
          <w:szCs w:val="16"/>
        </w:rPr>
        <w:t>from the institution.</w:t>
      </w:r>
      <w:r w:rsidR="00331094" w:rsidRPr="00331094">
        <w:rPr>
          <w:rFonts w:ascii="Times New Roman" w:eastAsia="Times New Roman" w:hAnsi="Times New Roman" w:cs="Times New Roman"/>
          <w:sz w:val="16"/>
          <w:szCs w:val="16"/>
        </w:rPr>
        <w:t xml:space="preserve"> GSU recommends faculty 1) strongly consider who will serve as PI on any SBIR/STTR application relating to university research </w:t>
      </w:r>
      <w:r w:rsidR="00331094">
        <w:rPr>
          <w:rFonts w:ascii="Times New Roman" w:eastAsia="Times New Roman" w:hAnsi="Times New Roman" w:cs="Times New Roman"/>
          <w:sz w:val="16"/>
          <w:szCs w:val="16"/>
        </w:rPr>
        <w:t xml:space="preserve">or intellectual property, </w:t>
      </w:r>
      <w:r w:rsidR="00331094" w:rsidRPr="00331094">
        <w:rPr>
          <w:rFonts w:ascii="Times New Roman" w:eastAsia="Times New Roman" w:hAnsi="Times New Roman" w:cs="Times New Roman"/>
          <w:sz w:val="16"/>
          <w:szCs w:val="16"/>
        </w:rPr>
        <w:t xml:space="preserve">and 2) consult with OTTC, </w:t>
      </w:r>
      <w:r w:rsidR="00331094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 w:rsidR="00331094" w:rsidRPr="00331094">
        <w:rPr>
          <w:rFonts w:ascii="Times New Roman" w:eastAsia="Times New Roman" w:hAnsi="Times New Roman" w:cs="Times New Roman"/>
          <w:sz w:val="16"/>
          <w:szCs w:val="16"/>
        </w:rPr>
        <w:t>Office of Legal Affairs, or the Office of Research Integrity to avoid potential conflicts or employment issues prior to applying for a grant.</w:t>
      </w:r>
    </w:p>
    <w:p w14:paraId="2150830E" w14:textId="77777777" w:rsidR="00F938E8" w:rsidRDefault="00F938E8" w:rsidP="00F938E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C91744F" w14:textId="724A23E8" w:rsidR="00E6515C" w:rsidRPr="00E6515C" w:rsidRDefault="00E6515C" w:rsidP="00F938E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515C">
        <w:rPr>
          <w:rFonts w:ascii="Times New Roman" w:eastAsia="Times New Roman" w:hAnsi="Times New Roman" w:cs="Times New Roman"/>
          <w:b/>
          <w:bCs/>
          <w:sz w:val="27"/>
          <w:szCs w:val="27"/>
        </w:rPr>
        <w:t>SBIR/STTR Phase I</w:t>
      </w:r>
    </w:p>
    <w:p w14:paraId="3327C6AD" w14:textId="5A9DC9F3" w:rsidR="00E6515C" w:rsidRPr="00E6515C" w:rsidRDefault="007F03FB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researchers are</w:t>
      </w:r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 xml:space="preserve"> familiar with the many federal agencies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(NSF, NIH, DOD, etc.) </w:t>
      </w:r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 xml:space="preserve"> grant funding for research. These agencies are also vested in translating that research to market, through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</w:t>
        </w:r>
      </w:hyperlink>
      <w:hyperlink r:id="rId8" w:tgtFrame="_blank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mall </w:t>
        </w:r>
      </w:hyperlink>
      <w:hyperlink r:id="rId9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</w:t>
        </w:r>
      </w:hyperlink>
      <w:hyperlink r:id="rId10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usiness </w:t>
        </w:r>
      </w:hyperlink>
      <w:hyperlink r:id="rId11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</w:t>
        </w:r>
      </w:hyperlink>
      <w:hyperlink r:id="rId12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nnovation </w:t>
        </w:r>
      </w:hyperlink>
      <w:hyperlink r:id="rId13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</w:t>
        </w:r>
      </w:hyperlink>
      <w:hyperlink r:id="rId14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esearch</w:t>
        </w:r>
      </w:hyperlink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 xml:space="preserve"> (SBIR) or </w:t>
      </w:r>
      <w:hyperlink r:id="rId15" w:tgtFrame="_blank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</w:t>
        </w:r>
      </w:hyperlink>
      <w:hyperlink r:id="rId16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mall Business </w:t>
        </w:r>
      </w:hyperlink>
      <w:hyperlink r:id="rId17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</w:t>
        </w:r>
      </w:hyperlink>
      <w:hyperlink r:id="rId18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echnology </w:t>
        </w:r>
      </w:hyperlink>
      <w:hyperlink r:id="rId19" w:history="1">
        <w:r w:rsidR="00E6515C" w:rsidRPr="00E651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</w:t>
        </w:r>
      </w:hyperlink>
      <w:hyperlink r:id="rId20" w:history="1">
        <w:r w:rsidR="00E6515C" w:rsidRPr="00E6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ansfer</w:t>
        </w:r>
      </w:hyperlink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 xml:space="preserve"> (STTR)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  <w:r w:rsidR="00E6515C" w:rsidRPr="00E65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4083F" w14:textId="3D5196DA" w:rsidR="00E6515C" w:rsidRDefault="00E6515C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15C">
        <w:rPr>
          <w:rFonts w:ascii="Times New Roman" w:eastAsia="Times New Roman" w:hAnsi="Times New Roman" w:cs="Times New Roman"/>
          <w:b/>
          <w:bCs/>
          <w:sz w:val="24"/>
          <w:szCs w:val="24"/>
        </w:rPr>
        <w:t>SBIR</w:t>
      </w:r>
      <w:r w:rsidR="00F938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The Small Business Innovation Research (SBIR) program is highly competitive 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encourages domestic small businesses to engage in Federal Research/Research and Development (R/R&amp;D) that has the potential for commercialization. Through a competitive awards-based program, SBIR enables small businesses to explore their technological potential and provides the incentive to profit from commercialization. By including qualified small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 xml:space="preserve"> businesses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, high-tech innovation is stimulated, and the United States gains entrepreneurial spirit as it meets its specific research and development needs. </w:t>
      </w:r>
    </w:p>
    <w:p w14:paraId="17FDBBBC" w14:textId="68A9A745" w:rsidR="00E6515C" w:rsidRPr="00E6515C" w:rsidRDefault="00E6515C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15C">
        <w:rPr>
          <w:rFonts w:ascii="Times New Roman" w:eastAsia="Times New Roman" w:hAnsi="Times New Roman" w:cs="Times New Roman"/>
          <w:b/>
          <w:bCs/>
          <w:sz w:val="24"/>
          <w:szCs w:val="24"/>
        </w:rPr>
        <w:t>STTR</w:t>
      </w:r>
      <w:r w:rsidR="00F938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Small Business Technology Transfer (STTR) is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 xml:space="preserve"> another program that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expands funding opportunities in federal innovation research and development (R&amp;D). Central to the 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 xml:space="preserve">STTR 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program is expansion of the public/private sector partnership to include the joint venture opportunities for small businesses and nonprofit research institutions. 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unique feature is the requirement for the small business to formally collaborate with a research institution in </w:t>
      </w:r>
      <w:r w:rsidR="007F03FB">
        <w:rPr>
          <w:rFonts w:ascii="Times New Roman" w:eastAsia="Times New Roman" w:hAnsi="Times New Roman" w:cs="Times New Roman"/>
          <w:sz w:val="24"/>
          <w:szCs w:val="24"/>
        </w:rPr>
        <w:t>all phases of the work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>. STTR</w:t>
      </w:r>
      <w:r w:rsidR="007F03F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>s most important role is to bridge the gap between performance of basic science and commercialization of resulting innovations.</w:t>
      </w:r>
    </w:p>
    <w:p w14:paraId="7B113EA4" w14:textId="01431E7A" w:rsidR="00277DF9" w:rsidRDefault="00E6515C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STTR/SBIR Phase I grants </w:t>
      </w:r>
      <w:r w:rsidR="0011665C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DF9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~$</w:t>
      </w:r>
      <w:r w:rsidR="001166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1665C">
        <w:rPr>
          <w:rFonts w:ascii="Times New Roman" w:eastAsia="Times New Roman" w:hAnsi="Times New Roman" w:cs="Times New Roman"/>
          <w:sz w:val="24"/>
          <w:szCs w:val="24"/>
        </w:rPr>
        <w:t>K for total costs</w:t>
      </w:r>
      <w:r w:rsidR="00277DF9">
        <w:rPr>
          <w:rFonts w:ascii="Times New Roman" w:eastAsia="Times New Roman" w:hAnsi="Times New Roman" w:cs="Times New Roman"/>
          <w:sz w:val="24"/>
          <w:szCs w:val="24"/>
        </w:rPr>
        <w:t xml:space="preserve">, although </w:t>
      </w:r>
      <w:r w:rsidR="0011665C">
        <w:rPr>
          <w:rFonts w:ascii="Times New Roman" w:eastAsia="Times New Roman" w:hAnsi="Times New Roman" w:cs="Times New Roman"/>
          <w:sz w:val="24"/>
          <w:szCs w:val="24"/>
        </w:rPr>
        <w:t>this may vary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11665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77DF9">
        <w:rPr>
          <w:rFonts w:ascii="Times New Roman" w:eastAsia="Times New Roman" w:hAnsi="Times New Roman" w:cs="Times New Roman"/>
          <w:sz w:val="24"/>
          <w:szCs w:val="24"/>
        </w:rPr>
        <w:t>gency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FD666D" w14:textId="309166B3" w:rsidR="00277DF9" w:rsidRPr="00E6515C" w:rsidRDefault="00277DF9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Along with federal policies, faculty participating in SBIR and STTR grants must abide by the university’s conflicts </w:t>
      </w:r>
      <w:r w:rsidR="007B2DD1">
        <w:rPr>
          <w:rFonts w:ascii="Times New Roman" w:eastAsia="Times New Roman" w:hAnsi="Times New Roman" w:cs="Times New Roman"/>
          <w:sz w:val="24"/>
          <w:szCs w:val="24"/>
        </w:rPr>
        <w:t xml:space="preserve">of interest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employment policies. </w:t>
      </w:r>
    </w:p>
    <w:p w14:paraId="28513467" w14:textId="2057D3DC" w:rsidR="00E6515C" w:rsidRPr="00E6515C" w:rsidRDefault="00E6515C" w:rsidP="00F938E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515C">
        <w:rPr>
          <w:rFonts w:ascii="Times New Roman" w:eastAsia="Times New Roman" w:hAnsi="Times New Roman" w:cs="Times New Roman"/>
          <w:b/>
          <w:bCs/>
          <w:sz w:val="27"/>
          <w:szCs w:val="27"/>
        </w:rPr>
        <w:t>SBIR/STTR Phase II</w:t>
      </w:r>
    </w:p>
    <w:p w14:paraId="4E542C95" w14:textId="682A7824" w:rsidR="00E6515C" w:rsidRPr="00E6515C" w:rsidRDefault="00E6515C" w:rsidP="00F938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If your company </w:t>
      </w:r>
      <w:r>
        <w:rPr>
          <w:rFonts w:ascii="Times New Roman" w:eastAsia="Times New Roman" w:hAnsi="Times New Roman" w:cs="Times New Roman"/>
          <w:sz w:val="24"/>
          <w:szCs w:val="24"/>
        </w:rPr>
        <w:t>has met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the milestones set out in your SBIR/STTR Phase I,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apply for an SBIR/STTR Phase II from 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same funding agency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>. These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grant</w:t>
      </w:r>
      <w:r w:rsidR="004203F1">
        <w:rPr>
          <w:rFonts w:ascii="Times New Roman" w:eastAsia="Times New Roman" w:hAnsi="Times New Roman" w:cs="Times New Roman"/>
          <w:sz w:val="24"/>
          <w:szCs w:val="24"/>
        </w:rPr>
        <w:t>s can total</w:t>
      </w:r>
      <w:r w:rsidRPr="00E6515C">
        <w:rPr>
          <w:rFonts w:ascii="Times New Roman" w:eastAsia="Times New Roman" w:hAnsi="Times New Roman" w:cs="Times New Roman"/>
          <w:sz w:val="24"/>
          <w:szCs w:val="24"/>
        </w:rPr>
        <w:t xml:space="preserve"> around $1 million+ for your startup to begin scaling up and pushing your technology closer to market or acquisition.</w:t>
      </w:r>
    </w:p>
    <w:sectPr w:rsidR="00E6515C" w:rsidRPr="00E6515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19C2" w14:textId="77777777" w:rsidR="005614CE" w:rsidRDefault="005614CE" w:rsidP="00E6515C">
      <w:pPr>
        <w:spacing w:after="0" w:line="240" w:lineRule="auto"/>
      </w:pPr>
      <w:r>
        <w:separator/>
      </w:r>
    </w:p>
  </w:endnote>
  <w:endnote w:type="continuationSeparator" w:id="0">
    <w:p w14:paraId="7D10713F" w14:textId="77777777" w:rsidR="005614CE" w:rsidRDefault="005614CE" w:rsidP="00E6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F4FC" w14:textId="77777777" w:rsidR="005614CE" w:rsidRDefault="005614CE" w:rsidP="00E6515C">
      <w:pPr>
        <w:spacing w:after="0" w:line="240" w:lineRule="auto"/>
      </w:pPr>
      <w:r>
        <w:separator/>
      </w:r>
    </w:p>
  </w:footnote>
  <w:footnote w:type="continuationSeparator" w:id="0">
    <w:p w14:paraId="3828F0B9" w14:textId="77777777" w:rsidR="005614CE" w:rsidRDefault="005614CE" w:rsidP="00E6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B80E" w14:textId="761828E4" w:rsidR="00E6515C" w:rsidRPr="00E6515C" w:rsidRDefault="00E6515C" w:rsidP="00E6515C">
    <w:pPr>
      <w:pStyle w:val="Header"/>
    </w:pPr>
    <w:r>
      <w:rPr>
        <w:noProof/>
      </w:rPr>
      <w:drawing>
        <wp:inline distT="0" distB="0" distL="0" distR="0" wp14:anchorId="17E5A2D9" wp14:editId="379BE18F">
          <wp:extent cx="2241550" cy="28570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150" cy="28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B61"/>
    <w:multiLevelType w:val="multilevel"/>
    <w:tmpl w:val="8B7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37949"/>
    <w:multiLevelType w:val="multilevel"/>
    <w:tmpl w:val="642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15"/>
    <w:rsid w:val="00026D15"/>
    <w:rsid w:val="000A19C9"/>
    <w:rsid w:val="0011665C"/>
    <w:rsid w:val="00163722"/>
    <w:rsid w:val="001D7EB4"/>
    <w:rsid w:val="00276E98"/>
    <w:rsid w:val="00277DF9"/>
    <w:rsid w:val="00331094"/>
    <w:rsid w:val="00390189"/>
    <w:rsid w:val="004203F1"/>
    <w:rsid w:val="005614CE"/>
    <w:rsid w:val="005E6D05"/>
    <w:rsid w:val="00631D90"/>
    <w:rsid w:val="006A4916"/>
    <w:rsid w:val="006D51BD"/>
    <w:rsid w:val="00753337"/>
    <w:rsid w:val="0076576D"/>
    <w:rsid w:val="007B2DD1"/>
    <w:rsid w:val="007F03FB"/>
    <w:rsid w:val="00C54475"/>
    <w:rsid w:val="00D3480E"/>
    <w:rsid w:val="00E6515C"/>
    <w:rsid w:val="00EE4C33"/>
    <w:rsid w:val="00F64CB9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2C22"/>
  <w15:chartTrackingRefBased/>
  <w15:docId w15:val="{FC99DA6F-7BFA-4947-887B-F6A9BCC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D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65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651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51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5C"/>
  </w:style>
  <w:style w:type="paragraph" w:styleId="Footer">
    <w:name w:val="footer"/>
    <w:basedOn w:val="Normal"/>
    <w:link w:val="FooterChar"/>
    <w:uiPriority w:val="99"/>
    <w:unhideWhenUsed/>
    <w:rsid w:val="00E6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5C"/>
  </w:style>
  <w:style w:type="paragraph" w:customStyle="1" w:styleId="xmsonormal">
    <w:name w:val="x_msonormal"/>
    <w:basedOn w:val="Normal"/>
    <w:uiPriority w:val="99"/>
    <w:semiHidden/>
    <w:rsid w:val="006D51BD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semiHidden/>
    <w:rsid w:val="006D51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90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DF9"/>
    <w:pPr>
      <w:ind w:left="720"/>
      <w:contextualSpacing/>
    </w:pPr>
  </w:style>
  <w:style w:type="table" w:styleId="TableGrid">
    <w:name w:val="Table Grid"/>
    <w:basedOn w:val="TableNormal"/>
    <w:uiPriority w:val="39"/>
    <w:rsid w:val="00F9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ir.gov/about/about-sbir" TargetMode="External"/><Relationship Id="rId13" Type="http://schemas.openxmlformats.org/officeDocument/2006/relationships/hyperlink" Target="https://www.sbir.gov/about/about-sbir" TargetMode="External"/><Relationship Id="rId18" Type="http://schemas.openxmlformats.org/officeDocument/2006/relationships/hyperlink" Target="https://www.sbir.gov/about/about-stt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bir.gov/about/about-sbir" TargetMode="External"/><Relationship Id="rId12" Type="http://schemas.openxmlformats.org/officeDocument/2006/relationships/hyperlink" Target="https://www.sbir.gov/about/about-sbir" TargetMode="External"/><Relationship Id="rId17" Type="http://schemas.openxmlformats.org/officeDocument/2006/relationships/hyperlink" Target="https://www.sbir.gov/about/about-st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ir.gov/about/about-sttr" TargetMode="External"/><Relationship Id="rId20" Type="http://schemas.openxmlformats.org/officeDocument/2006/relationships/hyperlink" Target="https://www.sbir.gov/about/about-st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ir.gov/about/about-sb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bir.gov/about/about-stt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bir.gov/about/about-sbir" TargetMode="External"/><Relationship Id="rId19" Type="http://schemas.openxmlformats.org/officeDocument/2006/relationships/hyperlink" Target="https://www.sbir.gov/about/about-st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ir.gov/about/about-sbir" TargetMode="External"/><Relationship Id="rId14" Type="http://schemas.openxmlformats.org/officeDocument/2006/relationships/hyperlink" Target="https://www.sbir.gov/about/about-sbi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Charles Michaels</dc:creator>
  <cp:keywords/>
  <dc:description/>
  <cp:lastModifiedBy>Jennifer Rainey Marquez</cp:lastModifiedBy>
  <cp:revision>2</cp:revision>
  <dcterms:created xsi:type="dcterms:W3CDTF">2021-07-08T19:52:00Z</dcterms:created>
  <dcterms:modified xsi:type="dcterms:W3CDTF">2021-07-08T19:52:00Z</dcterms:modified>
</cp:coreProperties>
</file>